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8A9FC" w14:textId="23C6907A" w:rsidR="00B57EFE" w:rsidRPr="000E4356" w:rsidRDefault="00B57EFE" w:rsidP="00B57EFE">
      <w:pPr>
        <w:tabs>
          <w:tab w:val="center" w:pos="4536"/>
          <w:tab w:val="right" w:pos="7938"/>
          <w:tab w:val="right" w:pos="9639"/>
        </w:tabs>
        <w:ind w:right="2"/>
        <w:rPr>
          <w:b/>
          <w:bCs/>
          <w:sz w:val="28"/>
        </w:rPr>
      </w:pPr>
      <w:r w:rsidRPr="000E4356">
        <w:rPr>
          <w:b/>
          <w:bCs/>
          <w:sz w:val="28"/>
        </w:rPr>
        <w:t>3GPP TSG RAN WG1 #11</w:t>
      </w:r>
      <w:r>
        <w:rPr>
          <w:b/>
          <w:bCs/>
          <w:sz w:val="28"/>
        </w:rPr>
        <w:t>7</w:t>
      </w:r>
      <w:r w:rsidRPr="000E4356">
        <w:rPr>
          <w:b/>
          <w:bCs/>
          <w:sz w:val="28"/>
        </w:rPr>
        <w:tab/>
      </w:r>
      <w:r w:rsidRPr="000E4356">
        <w:rPr>
          <w:b/>
          <w:bCs/>
          <w:sz w:val="28"/>
        </w:rPr>
        <w:tab/>
      </w:r>
      <w:r w:rsidRPr="000E4356">
        <w:rPr>
          <w:b/>
          <w:bCs/>
          <w:sz w:val="28"/>
        </w:rPr>
        <w:tab/>
      </w:r>
      <w:r w:rsidRPr="009D0DF2">
        <w:rPr>
          <w:b/>
          <w:bCs/>
          <w:sz w:val="28"/>
        </w:rPr>
        <w:t>R1-240</w:t>
      </w:r>
      <w:r w:rsidR="009D0DF2" w:rsidRPr="009D0DF2">
        <w:rPr>
          <w:b/>
          <w:bCs/>
          <w:sz w:val="28"/>
        </w:rPr>
        <w:t>4266</w:t>
      </w:r>
    </w:p>
    <w:p w14:paraId="169DE817" w14:textId="77777777" w:rsidR="00B57EFE" w:rsidRPr="00AC2618" w:rsidRDefault="00B57EFE" w:rsidP="00B57EFE">
      <w:pPr>
        <w:pStyle w:val="3GPPHeader"/>
        <w:rPr>
          <w:rFonts w:eastAsia="MS Mincho"/>
          <w:bCs/>
          <w:sz w:val="28"/>
          <w:lang w:val="en-GB" w:eastAsia="ja-JP"/>
        </w:rPr>
      </w:pPr>
      <w:r w:rsidRPr="00AC2618">
        <w:rPr>
          <w:rFonts w:eastAsia="MS Mincho"/>
          <w:bCs/>
          <w:sz w:val="28"/>
          <w:lang w:val="en-GB" w:eastAsia="ja-JP"/>
        </w:rPr>
        <w:t>Fukuoka City, Fukuoka, Japan, May 20</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24</w:t>
      </w:r>
      <w:r w:rsidRPr="00AC2618">
        <w:rPr>
          <w:rFonts w:eastAsia="MS Mincho" w:hint="eastAsia"/>
          <w:bCs/>
          <w:sz w:val="28"/>
          <w:vertAlign w:val="superscript"/>
          <w:lang w:val="en-GB" w:eastAsia="ja-JP"/>
        </w:rPr>
        <w:t>t</w:t>
      </w:r>
      <w:r w:rsidRPr="00AC2618">
        <w:rPr>
          <w:rFonts w:eastAsia="MS Mincho"/>
          <w:bCs/>
          <w:sz w:val="28"/>
          <w:vertAlign w:val="superscript"/>
          <w:lang w:val="en-GB" w:eastAsia="ja-JP"/>
        </w:rPr>
        <w:t>h</w:t>
      </w:r>
      <w:r w:rsidRPr="00AC2618">
        <w:rPr>
          <w:rFonts w:eastAsia="MS Mincho"/>
          <w:bCs/>
          <w:sz w:val="28"/>
          <w:lang w:val="en-GB" w:eastAsia="ja-JP"/>
        </w:rPr>
        <w:t>, 2024</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52B736C7" w:rsidR="00390F36" w:rsidRPr="00CE30E7" w:rsidRDefault="00390F36" w:rsidP="00F73F67">
      <w:pPr>
        <w:pStyle w:val="3GPPHeader"/>
        <w:ind w:left="1700" w:hanging="1700"/>
        <w:jc w:val="both"/>
      </w:pPr>
      <w:r w:rsidRPr="00CE30E7">
        <w:t>Title:</w:t>
      </w:r>
      <w:r w:rsidRPr="00CE30E7">
        <w:tab/>
      </w:r>
      <w:r w:rsidR="00B57EFE" w:rsidRPr="00B57EFE">
        <w:t>Discussion on RAN2 LS on Reference Point for SSB-</w:t>
      </w:r>
      <w:proofErr w:type="spellStart"/>
      <w:r w:rsidR="00B57EFE" w:rsidRPr="00B57EFE">
        <w:t>TimeOffset</w:t>
      </w:r>
      <w:proofErr w:type="spellEnd"/>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10957CB1" w14:textId="6B221198" w:rsidR="00B57EFE" w:rsidRDefault="008E4BD2" w:rsidP="00601729">
      <w:pPr>
        <w:jc w:val="both"/>
        <w:rPr>
          <w:sz w:val="24"/>
          <w:szCs w:val="24"/>
        </w:rPr>
      </w:pPr>
      <w:r w:rsidRPr="00601729">
        <w:rPr>
          <w:sz w:val="24"/>
          <w:szCs w:val="24"/>
        </w:rPr>
        <w:t>RAN2 sent a</w:t>
      </w:r>
      <w:r w:rsidR="00583E50">
        <w:rPr>
          <w:sz w:val="24"/>
          <w:szCs w:val="24"/>
        </w:rPr>
        <w:t xml:space="preserve">n </w:t>
      </w:r>
      <w:r w:rsidRPr="00601729">
        <w:rPr>
          <w:sz w:val="24"/>
          <w:szCs w:val="24"/>
        </w:rPr>
        <w:t xml:space="preserve">LS on </w:t>
      </w:r>
      <w:r w:rsidR="00B57EFE">
        <w:rPr>
          <w:sz w:val="24"/>
          <w:szCs w:val="24"/>
        </w:rPr>
        <w:t>reference point for SSB-TimeOffset</w:t>
      </w:r>
      <w:r w:rsidR="002C3195">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D4347">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D75CFD">
        <w:rPr>
          <w:sz w:val="24"/>
          <w:szCs w:val="24"/>
        </w:rPr>
        <w:t xml:space="preserve">a question is raised on </w:t>
      </w:r>
      <w:r w:rsidR="00B57EFE">
        <w:rPr>
          <w:sz w:val="24"/>
          <w:szCs w:val="24"/>
        </w:rPr>
        <w:t>whet</w:t>
      </w:r>
      <w:r w:rsidR="0072302F">
        <w:rPr>
          <w:sz w:val="24"/>
          <w:szCs w:val="24"/>
        </w:rPr>
        <w:t>h</w:t>
      </w:r>
      <w:r w:rsidR="00B57EFE">
        <w:rPr>
          <w:sz w:val="24"/>
          <w:szCs w:val="24"/>
        </w:rPr>
        <w:t>er it is acceptable to set gNB as the reference point of SSB-Tim</w:t>
      </w:r>
      <w:r w:rsidR="005F32C3">
        <w:rPr>
          <w:sz w:val="24"/>
          <w:szCs w:val="24"/>
        </w:rPr>
        <w:t>e</w:t>
      </w:r>
      <w:r w:rsidR="00B57EFE">
        <w:rPr>
          <w:sz w:val="24"/>
          <w:szCs w:val="24"/>
        </w:rPr>
        <w:t xml:space="preserve">Offset. </w:t>
      </w:r>
    </w:p>
    <w:tbl>
      <w:tblPr>
        <w:tblStyle w:val="TableGrid"/>
        <w:tblW w:w="0" w:type="auto"/>
        <w:tblLook w:val="04A0" w:firstRow="1" w:lastRow="0" w:firstColumn="1" w:lastColumn="0" w:noHBand="0" w:noVBand="1"/>
      </w:tblPr>
      <w:tblGrid>
        <w:gridCol w:w="9629"/>
      </w:tblGrid>
      <w:tr w:rsidR="00D75CFD" w14:paraId="3EC2C5BF" w14:textId="77777777" w:rsidTr="00D75CFD">
        <w:tc>
          <w:tcPr>
            <w:tcW w:w="9629" w:type="dxa"/>
          </w:tcPr>
          <w:p w14:paraId="2EF0782A" w14:textId="77777777" w:rsidR="00B57EFE" w:rsidRPr="00753661" w:rsidRDefault="00B57EFE" w:rsidP="00B57EFE">
            <w:pPr>
              <w:spacing w:before="120" w:after="120" w:line="276" w:lineRule="auto"/>
              <w:jc w:val="both"/>
              <w:rPr>
                <w:color w:val="000000"/>
                <w:sz w:val="24"/>
                <w:szCs w:val="24"/>
                <w:lang w:eastAsia="ko-KR"/>
              </w:rPr>
            </w:pPr>
            <w:r w:rsidRPr="00753661">
              <w:rPr>
                <w:color w:val="000000"/>
                <w:sz w:val="24"/>
                <w:szCs w:val="24"/>
                <w:lang w:eastAsia="ko-KR"/>
              </w:rPr>
              <w:t xml:space="preserve">In RAN2#125bis meeting, RAN2 is considering adopting the gNB as the reference point of </w:t>
            </w:r>
            <w:proofErr w:type="spellStart"/>
            <w:r w:rsidRPr="00753661">
              <w:rPr>
                <w:color w:val="000000"/>
                <w:sz w:val="24"/>
                <w:szCs w:val="24"/>
                <w:lang w:eastAsia="ko-KR"/>
              </w:rPr>
              <w:t>ssb</w:t>
            </w:r>
            <w:proofErr w:type="spellEnd"/>
            <w:r w:rsidRPr="00753661">
              <w:rPr>
                <w:color w:val="000000"/>
                <w:sz w:val="24"/>
                <w:szCs w:val="24"/>
                <w:lang w:eastAsia="ko-KR"/>
              </w:rPr>
              <w:t>-TimeOffset. RAN2 would like to check with RAN4 and RAN1 whether this would be acceptable.</w:t>
            </w:r>
          </w:p>
          <w:p w14:paraId="5A3EB96D" w14:textId="77777777" w:rsidR="00B57EFE" w:rsidRPr="00753661" w:rsidRDefault="00B57EFE" w:rsidP="00B57EFE">
            <w:pPr>
              <w:spacing w:after="120"/>
              <w:ind w:left="1985" w:hanging="1985"/>
              <w:rPr>
                <w:b/>
                <w:sz w:val="24"/>
                <w:szCs w:val="24"/>
              </w:rPr>
            </w:pPr>
            <w:r w:rsidRPr="00753661">
              <w:rPr>
                <w:b/>
                <w:sz w:val="24"/>
                <w:szCs w:val="24"/>
              </w:rPr>
              <w:t>To RAN4, RAN1:</w:t>
            </w:r>
          </w:p>
          <w:p w14:paraId="6B8DECD0" w14:textId="0E6DF647" w:rsidR="00D75CFD" w:rsidRPr="00D75CFD" w:rsidRDefault="00B57EFE" w:rsidP="00B57EFE">
            <w:pPr>
              <w:spacing w:after="120"/>
              <w:ind w:left="993" w:hanging="993"/>
              <w:jc w:val="both"/>
              <w:rPr>
                <w:rFonts w:ascii="Arial" w:hAnsi="Arial" w:cs="Arial"/>
              </w:rPr>
            </w:pPr>
            <w:r w:rsidRPr="00753661">
              <w:rPr>
                <w:b/>
                <w:sz w:val="24"/>
                <w:szCs w:val="24"/>
              </w:rPr>
              <w:t xml:space="preserve">ACTION: </w:t>
            </w:r>
            <w:r w:rsidRPr="00753661">
              <w:rPr>
                <w:sz w:val="24"/>
                <w:szCs w:val="24"/>
                <w:lang w:val="en-US"/>
              </w:rPr>
              <w:t>RAN2 respectfully asks RAN4 and RAN1 to take the above into consideration and come back if any issues are determined.</w:t>
            </w:r>
          </w:p>
        </w:tc>
      </w:tr>
    </w:tbl>
    <w:p w14:paraId="413E441A" w14:textId="77777777" w:rsidR="00210574" w:rsidRDefault="00210574" w:rsidP="00601729">
      <w:pPr>
        <w:jc w:val="both"/>
        <w:rPr>
          <w:sz w:val="24"/>
          <w:szCs w:val="24"/>
          <w:lang w:eastAsia="x-none"/>
        </w:rPr>
      </w:pPr>
    </w:p>
    <w:p w14:paraId="7DF5F9CE" w14:textId="13305BCB" w:rsidR="007E2446" w:rsidRPr="005D2AE5" w:rsidRDefault="008E4BD2" w:rsidP="00601729">
      <w:pPr>
        <w:jc w:val="both"/>
        <w:rPr>
          <w:sz w:val="24"/>
          <w:szCs w:val="24"/>
          <w:lang w:eastAsia="x-none"/>
        </w:rPr>
      </w:pPr>
      <w:r w:rsidRPr="00601729">
        <w:rPr>
          <w:sz w:val="24"/>
          <w:szCs w:val="24"/>
          <w:lang w:eastAsia="x-none"/>
        </w:rPr>
        <w:t>In this c</w:t>
      </w:r>
      <w:r w:rsidR="00B956DF">
        <w:rPr>
          <w:sz w:val="24"/>
          <w:szCs w:val="24"/>
          <w:lang w:eastAsia="x-none"/>
        </w:rPr>
        <w:t>o</w:t>
      </w:r>
      <w:r w:rsidRPr="00601729">
        <w:rPr>
          <w:sz w:val="24"/>
          <w:szCs w:val="24"/>
          <w:lang w:eastAsia="x-none"/>
        </w:rPr>
        <w:t xml:space="preserve">ntribution, we discuss </w:t>
      </w:r>
      <w:r w:rsidR="00B57EFE">
        <w:rPr>
          <w:sz w:val="24"/>
          <w:szCs w:val="24"/>
          <w:lang w:eastAsia="x-none"/>
        </w:rPr>
        <w:t>the reference point for SSB-TimeOffset</w:t>
      </w:r>
      <w:r w:rsidR="00D75CFD">
        <w:rPr>
          <w:sz w:val="24"/>
          <w:szCs w:val="24"/>
          <w:lang w:eastAsia="x-none"/>
        </w:rPr>
        <w:t xml:space="preserve">. </w:t>
      </w:r>
    </w:p>
    <w:p w14:paraId="691B73BE" w14:textId="1497A29B" w:rsidR="00390F36" w:rsidRDefault="00390F36" w:rsidP="00390F36">
      <w:pPr>
        <w:pStyle w:val="Heading1"/>
      </w:pPr>
      <w:r>
        <w:t>Discussion</w:t>
      </w:r>
    </w:p>
    <w:p w14:paraId="3440A648" w14:textId="77777777" w:rsidR="00772959" w:rsidRDefault="00D75CFD" w:rsidP="00D75CFD">
      <w:pPr>
        <w:jc w:val="both"/>
        <w:rPr>
          <w:sz w:val="24"/>
          <w:szCs w:val="24"/>
        </w:rPr>
      </w:pPr>
      <w:r>
        <w:rPr>
          <w:sz w:val="24"/>
          <w:szCs w:val="24"/>
        </w:rPr>
        <w:t xml:space="preserve">In LS </w:t>
      </w:r>
      <w:r>
        <w:rPr>
          <w:sz w:val="24"/>
          <w:szCs w:val="24"/>
        </w:rPr>
        <w:fldChar w:fldCharType="begin"/>
      </w:r>
      <w:r>
        <w:rPr>
          <w:sz w:val="24"/>
          <w:szCs w:val="24"/>
        </w:rPr>
        <w:instrText xml:space="preserve"> REF _Ref78543045 \r \h  \* MERGEFORMAT </w:instrText>
      </w:r>
      <w:r>
        <w:rPr>
          <w:sz w:val="24"/>
          <w:szCs w:val="24"/>
        </w:rPr>
      </w:r>
      <w:r>
        <w:rPr>
          <w:sz w:val="24"/>
          <w:szCs w:val="24"/>
        </w:rPr>
        <w:fldChar w:fldCharType="separate"/>
      </w:r>
      <w:r>
        <w:rPr>
          <w:sz w:val="24"/>
          <w:szCs w:val="24"/>
        </w:rPr>
        <w:t>[1]</w:t>
      </w:r>
      <w:r>
        <w:rPr>
          <w:sz w:val="24"/>
          <w:szCs w:val="24"/>
        </w:rPr>
        <w:fldChar w:fldCharType="end"/>
      </w:r>
      <w:r>
        <w:rPr>
          <w:sz w:val="24"/>
          <w:szCs w:val="24"/>
        </w:rPr>
        <w:t xml:space="preserve">, RAN2 would like to get feedback on the </w:t>
      </w:r>
      <w:r w:rsidR="00B57EFE">
        <w:rPr>
          <w:sz w:val="24"/>
          <w:szCs w:val="24"/>
        </w:rPr>
        <w:t>acceptability</w:t>
      </w:r>
      <w:r>
        <w:rPr>
          <w:sz w:val="24"/>
          <w:szCs w:val="24"/>
        </w:rPr>
        <w:t xml:space="preserve"> that </w:t>
      </w:r>
      <w:r w:rsidR="00B57EFE">
        <w:rPr>
          <w:sz w:val="24"/>
          <w:szCs w:val="24"/>
        </w:rPr>
        <w:t>the reference point of SSB-TimeOffset is set at gNB</w:t>
      </w:r>
      <w:r>
        <w:rPr>
          <w:sz w:val="24"/>
          <w:szCs w:val="24"/>
        </w:rPr>
        <w:t>.</w:t>
      </w:r>
    </w:p>
    <w:p w14:paraId="4B90F2C4" w14:textId="6B8AF283" w:rsidR="00772959" w:rsidRDefault="00772959" w:rsidP="00772959">
      <w:pPr>
        <w:jc w:val="both"/>
        <w:rPr>
          <w:sz w:val="24"/>
          <w:szCs w:val="24"/>
        </w:rPr>
      </w:pPr>
      <w:r>
        <w:rPr>
          <w:sz w:val="24"/>
          <w:szCs w:val="24"/>
        </w:rPr>
        <w:t xml:space="preserve">Basically, the timing relationship of SSB transmissions is shown </w:t>
      </w:r>
      <w:r w:rsidRPr="00772959">
        <w:rPr>
          <w:sz w:val="24"/>
          <w:szCs w:val="24"/>
        </w:rPr>
        <w:fldChar w:fldCharType="begin"/>
      </w:r>
      <w:r w:rsidRPr="00772959">
        <w:rPr>
          <w:sz w:val="24"/>
          <w:szCs w:val="24"/>
        </w:rPr>
        <w:instrText xml:space="preserve"> REF _Ref165899783 \h </w:instrText>
      </w:r>
      <w:r>
        <w:rPr>
          <w:sz w:val="24"/>
          <w:szCs w:val="24"/>
        </w:rPr>
        <w:instrText xml:space="preserve"> \* MERGEFORMAT </w:instrText>
      </w:r>
      <w:r w:rsidRPr="00772959">
        <w:rPr>
          <w:sz w:val="24"/>
          <w:szCs w:val="24"/>
        </w:rPr>
      </w:r>
      <w:r w:rsidRPr="00772959">
        <w:rPr>
          <w:sz w:val="24"/>
          <w:szCs w:val="24"/>
        </w:rPr>
        <w:fldChar w:fldCharType="separate"/>
      </w:r>
      <w:r w:rsidRPr="00772959">
        <w:rPr>
          <w:sz w:val="24"/>
          <w:szCs w:val="24"/>
        </w:rPr>
        <w:t xml:space="preserve">Figure </w:t>
      </w:r>
      <w:r w:rsidRPr="00772959">
        <w:rPr>
          <w:noProof/>
          <w:sz w:val="24"/>
          <w:szCs w:val="24"/>
        </w:rPr>
        <w:t>1</w:t>
      </w:r>
      <w:r w:rsidRPr="00772959">
        <w:rPr>
          <w:sz w:val="24"/>
          <w:szCs w:val="24"/>
        </w:rPr>
        <w:fldChar w:fldCharType="end"/>
      </w:r>
      <w:r>
        <w:rPr>
          <w:sz w:val="24"/>
          <w:szCs w:val="24"/>
        </w:rPr>
        <w:t xml:space="preserve">. If the reference point of SSB-TimeOffset is set at gNB, then the SSB time offset calculated at UE side is </w:t>
      </w:r>
      <w:r>
        <w:rPr>
          <w:rFonts w:hint="eastAsia"/>
          <w:sz w:val="24"/>
          <w:szCs w:val="24"/>
          <w:lang w:eastAsia="zh-CN"/>
        </w:rPr>
        <w:t>g</w:t>
      </w:r>
      <w:r>
        <w:rPr>
          <w:sz w:val="24"/>
          <w:szCs w:val="24"/>
        </w:rPr>
        <w:t xml:space="preserve">iven by </w:t>
      </w:r>
    </w:p>
    <w:p w14:paraId="6087EDCD" w14:textId="59BAB1E7" w:rsidR="00772959" w:rsidRDefault="00772959" w:rsidP="00772959">
      <w:pPr>
        <w:jc w:val="center"/>
        <w:rPr>
          <w:sz w:val="24"/>
          <w:szCs w:val="24"/>
        </w:rPr>
      </w:pPr>
      <w:r>
        <w:rPr>
          <w:sz w:val="24"/>
          <w:szCs w:val="24"/>
        </w:rPr>
        <w:t xml:space="preserve">SSB-TimeOffset + </w:t>
      </w: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  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TA,1</m:t>
            </m:r>
          </m:sub>
        </m:sSub>
        <m:r>
          <w:rPr>
            <w:rFonts w:ascii="Cambria Math" w:hAnsi="Cambria Math"/>
            <w:sz w:val="24"/>
            <w:szCs w:val="24"/>
          </w:rPr>
          <m:t>)/2</m:t>
        </m:r>
      </m:oMath>
      <w:r>
        <w:rPr>
          <w:sz w:val="24"/>
          <w:szCs w:val="24"/>
        </w:rPr>
        <w:t xml:space="preserve"> - </w:t>
      </w: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TA,2</m:t>
            </m:r>
          </m:sub>
        </m:sSub>
        <m:r>
          <w:rPr>
            <w:rFonts w:ascii="Cambria Math" w:hAnsi="Cambria Math"/>
            <w:sz w:val="24"/>
            <w:szCs w:val="24"/>
          </w:rPr>
          <m:t>)/2</m:t>
        </m:r>
      </m:oMath>
      <w:r>
        <w:rPr>
          <w:sz w:val="24"/>
          <w:szCs w:val="24"/>
        </w:rPr>
        <w:t>,</w:t>
      </w:r>
    </w:p>
    <w:p w14:paraId="467B1B38" w14:textId="624A0D68" w:rsidR="00772959" w:rsidRDefault="00772959" w:rsidP="00772959">
      <w:pPr>
        <w:jc w:val="both"/>
        <w:rPr>
          <w:sz w:val="24"/>
          <w:szCs w:val="24"/>
        </w:rPr>
      </w:pPr>
      <w:r>
        <w:rPr>
          <w:sz w:val="24"/>
          <w:szCs w:val="24"/>
        </w:rPr>
        <w:t xml:space="preserve">where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TA,1</m:t>
            </m:r>
          </m:sub>
        </m:sSub>
      </m:oMath>
      <w:r>
        <w:rPr>
          <w:sz w:val="24"/>
          <w:szCs w:val="24"/>
        </w:rPr>
        <w:t xml:space="preserve"> is UE’s TA for the source satellite, </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TA,2</m:t>
            </m:r>
          </m:sub>
        </m:sSub>
      </m:oMath>
      <w:r>
        <w:rPr>
          <w:sz w:val="24"/>
          <w:szCs w:val="24"/>
        </w:rPr>
        <w:t xml:space="preserve"> is UE’s TA for the target satellite,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  1</m:t>
            </m:r>
          </m:sub>
        </m:sSub>
      </m:oMath>
      <w:r>
        <w:rPr>
          <w:sz w:val="24"/>
          <w:szCs w:val="24"/>
        </w:rPr>
        <w:t xml:space="preserve"> is the configured value for UE to estimate the RTT between gNB and source satellite uplink time synchronization reference point, and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  2</m:t>
            </m:r>
          </m:sub>
        </m:sSub>
      </m:oMath>
      <w:r>
        <w:rPr>
          <w:sz w:val="24"/>
          <w:szCs w:val="24"/>
        </w:rPr>
        <w:t xml:space="preserve"> is the configured value for UE to estimate the RTT between gNB and target satellite uplink time synchronization reference point. </w:t>
      </w:r>
    </w:p>
    <w:p w14:paraId="0DD611A2" w14:textId="7BD01E6A" w:rsidR="00772959" w:rsidRDefault="00772959" w:rsidP="00D75CFD">
      <w:pPr>
        <w:jc w:val="both"/>
        <w:rPr>
          <w:sz w:val="24"/>
          <w:szCs w:val="24"/>
        </w:rPr>
      </w:pPr>
    </w:p>
    <w:p w14:paraId="12098A49" w14:textId="77777777" w:rsidR="00772959" w:rsidRDefault="00772959" w:rsidP="00772959">
      <w:pPr>
        <w:keepNext/>
        <w:jc w:val="center"/>
      </w:pPr>
      <w:r w:rsidRPr="00772959">
        <w:rPr>
          <w:noProof/>
          <w:sz w:val="24"/>
          <w:szCs w:val="24"/>
        </w:rPr>
        <w:lastRenderedPageBreak/>
        <w:drawing>
          <wp:inline distT="0" distB="0" distL="0" distR="0" wp14:anchorId="4F2A518B" wp14:editId="3D067952">
            <wp:extent cx="5279492" cy="2603870"/>
            <wp:effectExtent l="0" t="0" r="3810" b="0"/>
            <wp:docPr id="1862883917" name="Picture 1"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883917" name="Picture 1" descr="A screen shot of a diagram&#10;&#10;Description automatically generated"/>
                    <pic:cNvPicPr/>
                  </pic:nvPicPr>
                  <pic:blipFill>
                    <a:blip r:embed="rId11"/>
                    <a:stretch>
                      <a:fillRect/>
                    </a:stretch>
                  </pic:blipFill>
                  <pic:spPr>
                    <a:xfrm>
                      <a:off x="0" y="0"/>
                      <a:ext cx="5326670" cy="2627138"/>
                    </a:xfrm>
                    <a:prstGeom prst="rect">
                      <a:avLst/>
                    </a:prstGeom>
                  </pic:spPr>
                </pic:pic>
              </a:graphicData>
            </a:graphic>
          </wp:inline>
        </w:drawing>
      </w:r>
    </w:p>
    <w:p w14:paraId="35EBEB6C" w14:textId="0C2F3C83" w:rsidR="00D75CFD" w:rsidRDefault="00772959" w:rsidP="00772959">
      <w:pPr>
        <w:pStyle w:val="Caption"/>
        <w:jc w:val="center"/>
        <w:rPr>
          <w:sz w:val="24"/>
          <w:szCs w:val="24"/>
        </w:rPr>
      </w:pPr>
      <w:bookmarkStart w:id="0" w:name="_Ref165899783"/>
      <w:r>
        <w:t xml:space="preserve">Figure </w:t>
      </w:r>
      <w:r>
        <w:fldChar w:fldCharType="begin"/>
      </w:r>
      <w:r>
        <w:instrText xml:space="preserve"> SEQ Figure \* ARABIC </w:instrText>
      </w:r>
      <w:r>
        <w:fldChar w:fldCharType="separate"/>
      </w:r>
      <w:r>
        <w:rPr>
          <w:noProof/>
        </w:rPr>
        <w:t>1</w:t>
      </w:r>
      <w:r>
        <w:fldChar w:fldCharType="end"/>
      </w:r>
      <w:bookmarkEnd w:id="0"/>
      <w:r>
        <w:t xml:space="preserve">: </w:t>
      </w:r>
      <w:bookmarkStart w:id="1" w:name="_Ref165899801"/>
      <w:r>
        <w:t>Illustration of timing relationship</w:t>
      </w:r>
      <w:bookmarkEnd w:id="1"/>
    </w:p>
    <w:p w14:paraId="0AFF4CFA" w14:textId="77777777" w:rsidR="00772959" w:rsidRDefault="00772959" w:rsidP="00772959">
      <w:pPr>
        <w:pStyle w:val="ListParagraph"/>
        <w:jc w:val="both"/>
      </w:pPr>
    </w:p>
    <w:p w14:paraId="3E9DD47B" w14:textId="638531C6" w:rsidR="00772959" w:rsidRDefault="00772959" w:rsidP="00772959">
      <w:pPr>
        <w:jc w:val="both"/>
        <w:rPr>
          <w:color w:val="000000"/>
          <w:sz w:val="24"/>
          <w:szCs w:val="24"/>
          <w:lang w:eastAsia="ko-KR"/>
        </w:rPr>
      </w:pPr>
      <w:r w:rsidRPr="00772959">
        <w:rPr>
          <w:sz w:val="24"/>
          <w:szCs w:val="24"/>
        </w:rPr>
        <w:t xml:space="preserve">Overall, we think it is acceptable </w:t>
      </w:r>
      <w:r>
        <w:rPr>
          <w:sz w:val="24"/>
          <w:szCs w:val="24"/>
        </w:rPr>
        <w:t xml:space="preserve">to adopt </w:t>
      </w:r>
      <w:r w:rsidRPr="00753661">
        <w:rPr>
          <w:color w:val="000000"/>
          <w:sz w:val="24"/>
          <w:szCs w:val="24"/>
          <w:lang w:eastAsia="ko-KR"/>
        </w:rPr>
        <w:t xml:space="preserve">gNB as the reference point of </w:t>
      </w:r>
      <w:r>
        <w:rPr>
          <w:color w:val="000000"/>
          <w:sz w:val="24"/>
          <w:szCs w:val="24"/>
          <w:lang w:eastAsia="ko-KR"/>
        </w:rPr>
        <w:t>SSB</w:t>
      </w:r>
      <w:r w:rsidRPr="00753661">
        <w:rPr>
          <w:color w:val="000000"/>
          <w:sz w:val="24"/>
          <w:szCs w:val="24"/>
          <w:lang w:eastAsia="ko-KR"/>
        </w:rPr>
        <w:t>-TimeOffset</w:t>
      </w:r>
      <w:r>
        <w:rPr>
          <w:color w:val="000000"/>
          <w:sz w:val="24"/>
          <w:szCs w:val="24"/>
          <w:lang w:eastAsia="ko-KR"/>
        </w:rPr>
        <w:t xml:space="preserve">, since UE is able to calculate the approximate reception time gap between SSB from source satellite and SSB from target satellite. As long as there is no time overlap on SSB reception time, UE is able to receive both SSBs. </w:t>
      </w:r>
    </w:p>
    <w:p w14:paraId="75F01792" w14:textId="7C05AC6A" w:rsidR="00772959" w:rsidRDefault="00772959" w:rsidP="00772959">
      <w:pPr>
        <w:jc w:val="both"/>
        <w:rPr>
          <w:sz w:val="24"/>
          <w:szCs w:val="24"/>
        </w:rPr>
      </w:pPr>
      <w:r>
        <w:rPr>
          <w:color w:val="000000"/>
          <w:sz w:val="24"/>
          <w:szCs w:val="24"/>
          <w:lang w:eastAsia="ko-KR"/>
        </w:rPr>
        <w:t xml:space="preserve">One may argue that the </w:t>
      </w:r>
      <m:oMath>
        <m:sSub>
          <m:sSubPr>
            <m:ctrlPr>
              <w:rPr>
                <w:rFonts w:ascii="Cambria Math" w:hAnsi="Cambria Math"/>
                <w:i/>
                <w:color w:val="000000"/>
                <w:sz w:val="24"/>
                <w:szCs w:val="24"/>
                <w:lang w:eastAsia="ko-KR"/>
              </w:rPr>
            </m:ctrlPr>
          </m:sSubPr>
          <m:e>
            <m:r>
              <w:rPr>
                <w:rFonts w:ascii="Cambria Math" w:hAnsi="Cambria Math"/>
                <w:color w:val="000000"/>
                <w:sz w:val="24"/>
                <w:szCs w:val="24"/>
                <w:lang w:eastAsia="ko-KR"/>
              </w:rPr>
              <m:t>K</m:t>
            </m:r>
          </m:e>
          <m:sub>
            <m:r>
              <w:rPr>
                <w:rFonts w:ascii="Cambria Math" w:hAnsi="Cambria Math"/>
                <w:color w:val="000000"/>
                <w:sz w:val="24"/>
                <w:szCs w:val="24"/>
                <w:lang w:eastAsia="ko-KR"/>
              </w:rPr>
              <m:t>mac</m:t>
            </m:r>
          </m:sub>
        </m:sSub>
      </m:oMath>
      <w:r>
        <w:rPr>
          <w:color w:val="000000"/>
          <w:sz w:val="24"/>
          <w:szCs w:val="24"/>
          <w:lang w:eastAsia="ko-KR"/>
        </w:rPr>
        <w:t xml:space="preserve"> is not able to accurately reflect the RTT between </w:t>
      </w:r>
      <w:r>
        <w:rPr>
          <w:sz w:val="24"/>
          <w:szCs w:val="24"/>
        </w:rPr>
        <w:t xml:space="preserve">uplink time synchronization reference point and gNB, since its granularity is milli-second (or slot at SCS 15 kHz). Actually, the configured </w:t>
      </w:r>
      <m:oMath>
        <m:sSub>
          <m:sSubPr>
            <m:ctrlPr>
              <w:rPr>
                <w:rFonts w:ascii="Cambria Math" w:hAnsi="Cambria Math"/>
                <w:i/>
                <w:color w:val="000000"/>
                <w:sz w:val="24"/>
                <w:szCs w:val="24"/>
                <w:lang w:eastAsia="ko-KR"/>
              </w:rPr>
            </m:ctrlPr>
          </m:sSubPr>
          <m:e>
            <m:r>
              <w:rPr>
                <w:rFonts w:ascii="Cambria Math" w:hAnsi="Cambria Math"/>
                <w:color w:val="000000"/>
                <w:sz w:val="24"/>
                <w:szCs w:val="24"/>
                <w:lang w:eastAsia="ko-KR"/>
              </w:rPr>
              <m:t>K</m:t>
            </m:r>
          </m:e>
          <m:sub>
            <m:r>
              <w:rPr>
                <w:rFonts w:ascii="Cambria Math" w:hAnsi="Cambria Math"/>
                <w:color w:val="000000"/>
                <w:sz w:val="24"/>
                <w:szCs w:val="24"/>
                <w:lang w:eastAsia="ko-KR"/>
              </w:rPr>
              <m:t>mac</m:t>
            </m:r>
          </m:sub>
        </m:sSub>
      </m:oMath>
      <w:r>
        <w:rPr>
          <w:color w:val="000000"/>
          <w:sz w:val="24"/>
          <w:szCs w:val="24"/>
          <w:lang w:eastAsia="ko-KR"/>
        </w:rPr>
        <w:t xml:space="preserve"> could be any value larger than RTT between uplink time </w:t>
      </w:r>
      <w:r w:rsidR="005F32C3">
        <w:rPr>
          <w:color w:val="000000"/>
          <w:sz w:val="24"/>
          <w:szCs w:val="24"/>
          <w:lang w:eastAsia="ko-KR"/>
        </w:rPr>
        <w:t>synchronization</w:t>
      </w:r>
      <w:r>
        <w:rPr>
          <w:color w:val="000000"/>
          <w:sz w:val="24"/>
          <w:szCs w:val="24"/>
          <w:lang w:eastAsia="ko-KR"/>
        </w:rPr>
        <w:t xml:space="preserve"> reference point and gNB. Hence, the above calculated </w:t>
      </w:r>
      <w:r>
        <w:rPr>
          <w:sz w:val="24"/>
          <w:szCs w:val="24"/>
        </w:rPr>
        <w:t xml:space="preserve">SSB time offset at UE side may not work. </w:t>
      </w:r>
    </w:p>
    <w:p w14:paraId="28F2C6C1" w14:textId="62D0CB3A" w:rsidR="00D75CFD" w:rsidRPr="00210574" w:rsidRDefault="0043428B" w:rsidP="00210574">
      <w:pPr>
        <w:jc w:val="both"/>
        <w:rPr>
          <w:sz w:val="24"/>
          <w:szCs w:val="24"/>
        </w:rPr>
      </w:pPr>
      <w:r>
        <w:rPr>
          <w:sz w:val="24"/>
          <w:szCs w:val="24"/>
        </w:rPr>
        <w:t>The</w:t>
      </w:r>
      <w:r w:rsidR="00772959">
        <w:rPr>
          <w:color w:val="000000"/>
          <w:sz w:val="24"/>
          <w:szCs w:val="24"/>
          <w:lang w:eastAsia="ko-KR"/>
        </w:rPr>
        <w:t xml:space="preserve"> granularity of SSB-TimeOffset is the same as </w:t>
      </w:r>
      <m:oMath>
        <m:sSub>
          <m:sSubPr>
            <m:ctrlPr>
              <w:rPr>
                <w:rFonts w:ascii="Cambria Math" w:hAnsi="Cambria Math"/>
                <w:i/>
                <w:color w:val="000000"/>
                <w:sz w:val="24"/>
                <w:szCs w:val="24"/>
                <w:lang w:eastAsia="ko-KR"/>
              </w:rPr>
            </m:ctrlPr>
          </m:sSubPr>
          <m:e>
            <m:r>
              <w:rPr>
                <w:rFonts w:ascii="Cambria Math" w:hAnsi="Cambria Math"/>
                <w:color w:val="000000"/>
                <w:sz w:val="24"/>
                <w:szCs w:val="24"/>
                <w:lang w:eastAsia="ko-KR"/>
              </w:rPr>
              <m:t>K</m:t>
            </m:r>
          </m:e>
          <m:sub>
            <m:r>
              <w:rPr>
                <w:rFonts w:ascii="Cambria Math" w:hAnsi="Cambria Math"/>
                <w:color w:val="000000"/>
                <w:sz w:val="24"/>
                <w:szCs w:val="24"/>
                <w:lang w:eastAsia="ko-KR"/>
              </w:rPr>
              <m:t>mac</m:t>
            </m:r>
          </m:sub>
        </m:sSub>
      </m:oMath>
      <w:r w:rsidR="00772959">
        <w:rPr>
          <w:color w:val="000000"/>
          <w:sz w:val="24"/>
          <w:szCs w:val="24"/>
          <w:lang w:eastAsia="ko-KR"/>
        </w:rPr>
        <w:t xml:space="preserve">, i.e., in milli-second. This facilitates network to configure a proper SSB-TimeOffset value to incorporate the difference of </w:t>
      </w:r>
      <m:oMath>
        <m:sSub>
          <m:sSubPr>
            <m:ctrlPr>
              <w:rPr>
                <w:rFonts w:ascii="Cambria Math" w:hAnsi="Cambria Math"/>
                <w:i/>
                <w:color w:val="000000"/>
                <w:sz w:val="24"/>
                <w:szCs w:val="24"/>
                <w:lang w:eastAsia="ko-KR"/>
              </w:rPr>
            </m:ctrlPr>
          </m:sSubPr>
          <m:e>
            <m:r>
              <w:rPr>
                <w:rFonts w:ascii="Cambria Math" w:hAnsi="Cambria Math"/>
                <w:color w:val="000000"/>
                <w:sz w:val="24"/>
                <w:szCs w:val="24"/>
                <w:lang w:eastAsia="ko-KR"/>
              </w:rPr>
              <m:t>K</m:t>
            </m:r>
          </m:e>
          <m:sub>
            <m:r>
              <w:rPr>
                <w:rFonts w:ascii="Cambria Math" w:hAnsi="Cambria Math"/>
                <w:color w:val="000000"/>
                <w:sz w:val="24"/>
                <w:szCs w:val="24"/>
                <w:lang w:eastAsia="ko-KR"/>
              </w:rPr>
              <m:t>mac,1</m:t>
            </m:r>
          </m:sub>
        </m:sSub>
      </m:oMath>
      <w:r w:rsidR="00772959">
        <w:rPr>
          <w:color w:val="000000"/>
          <w:sz w:val="24"/>
          <w:szCs w:val="24"/>
          <w:lang w:eastAsia="ko-KR"/>
        </w:rPr>
        <w:t xml:space="preserve"> and </w:t>
      </w:r>
      <m:oMath>
        <m:sSub>
          <m:sSubPr>
            <m:ctrlPr>
              <w:rPr>
                <w:rFonts w:ascii="Cambria Math" w:hAnsi="Cambria Math"/>
                <w:i/>
                <w:color w:val="000000"/>
                <w:sz w:val="24"/>
                <w:szCs w:val="24"/>
                <w:lang w:eastAsia="ko-KR"/>
              </w:rPr>
            </m:ctrlPr>
          </m:sSubPr>
          <m:e>
            <m:r>
              <w:rPr>
                <w:rFonts w:ascii="Cambria Math" w:hAnsi="Cambria Math"/>
                <w:color w:val="000000"/>
                <w:sz w:val="24"/>
                <w:szCs w:val="24"/>
                <w:lang w:eastAsia="ko-KR"/>
              </w:rPr>
              <m:t>K</m:t>
            </m:r>
          </m:e>
          <m:sub>
            <m:r>
              <w:rPr>
                <w:rFonts w:ascii="Cambria Math" w:hAnsi="Cambria Math"/>
                <w:color w:val="000000"/>
                <w:sz w:val="24"/>
                <w:szCs w:val="24"/>
                <w:lang w:eastAsia="ko-KR"/>
              </w:rPr>
              <m:t>mac,2</m:t>
            </m:r>
          </m:sub>
        </m:sSub>
      </m:oMath>
      <w:r w:rsidR="00772959">
        <w:rPr>
          <w:color w:val="000000"/>
          <w:sz w:val="24"/>
          <w:szCs w:val="24"/>
          <w:lang w:eastAsia="ko-KR"/>
        </w:rPr>
        <w:t xml:space="preserve">. </w:t>
      </w:r>
      <w:r w:rsidR="00772959">
        <w:rPr>
          <w:sz w:val="24"/>
          <w:szCs w:val="24"/>
        </w:rPr>
        <w:t>With the above arguments, we think it is acceptable to adopt gNB as the reference point of SSB-TimeOffset</w:t>
      </w:r>
      <w:r w:rsidR="00210574">
        <w:rPr>
          <w:sz w:val="24"/>
          <w:szCs w:val="24"/>
        </w:rPr>
        <w:t xml:space="preserve">, when the value of SSB-TimeOffset is configured. </w:t>
      </w:r>
    </w:p>
    <w:p w14:paraId="0D17B904" w14:textId="70A31377" w:rsidR="00D75CFD" w:rsidRDefault="005B064A" w:rsidP="007B50D4">
      <w:pPr>
        <w:tabs>
          <w:tab w:val="left" w:pos="640"/>
        </w:tabs>
        <w:spacing w:after="0"/>
        <w:jc w:val="both"/>
        <w:rPr>
          <w:sz w:val="24"/>
          <w:szCs w:val="24"/>
        </w:rPr>
      </w:pPr>
      <w:r w:rsidRPr="005B064A">
        <w:rPr>
          <w:b/>
          <w:bCs/>
          <w:i/>
          <w:iCs/>
          <w:sz w:val="24"/>
          <w:szCs w:val="24"/>
          <w:u w:val="single"/>
        </w:rPr>
        <w:t>Proposal 1:</w:t>
      </w:r>
      <w:r w:rsidRPr="005B064A">
        <w:rPr>
          <w:i/>
          <w:iCs/>
          <w:sz w:val="24"/>
          <w:szCs w:val="24"/>
        </w:rPr>
        <w:t xml:space="preserve"> </w:t>
      </w:r>
      <w:r w:rsidR="00772959">
        <w:rPr>
          <w:i/>
          <w:iCs/>
          <w:sz w:val="24"/>
          <w:szCs w:val="24"/>
        </w:rPr>
        <w:t xml:space="preserve">It is acceptable to adopt gNB as the reference point of SSB-TimeOffset. </w:t>
      </w:r>
    </w:p>
    <w:p w14:paraId="12E2DF41" w14:textId="77777777" w:rsidR="007B50D4" w:rsidRDefault="007B50D4" w:rsidP="007B50D4">
      <w:pPr>
        <w:tabs>
          <w:tab w:val="left" w:pos="640"/>
        </w:tabs>
        <w:spacing w:after="0"/>
        <w:jc w:val="both"/>
        <w:rPr>
          <w:sz w:val="24"/>
          <w:szCs w:val="24"/>
        </w:rPr>
      </w:pPr>
    </w:p>
    <w:p w14:paraId="79C7E44A" w14:textId="1AFF24A7" w:rsidR="00D75CFD" w:rsidRPr="00D75CFD" w:rsidRDefault="00D75CFD" w:rsidP="009A707D">
      <w:pPr>
        <w:jc w:val="both"/>
        <w:rPr>
          <w:iCs/>
          <w:sz w:val="24"/>
          <w:szCs w:val="24"/>
          <w:lang w:eastAsia="x-none"/>
        </w:rPr>
      </w:pPr>
      <w:r w:rsidRPr="00D75CFD">
        <w:rPr>
          <w:iCs/>
          <w:sz w:val="24"/>
          <w:szCs w:val="24"/>
          <w:lang w:eastAsia="x-none"/>
        </w:rPr>
        <w:t xml:space="preserve">The corresponding draft </w:t>
      </w:r>
      <w:proofErr w:type="gramStart"/>
      <w:r w:rsidRPr="00D75CFD">
        <w:rPr>
          <w:iCs/>
          <w:sz w:val="24"/>
          <w:szCs w:val="24"/>
          <w:lang w:eastAsia="x-none"/>
        </w:rPr>
        <w:t>reply</w:t>
      </w:r>
      <w:proofErr w:type="gramEnd"/>
      <w:r w:rsidRPr="00D75CFD">
        <w:rPr>
          <w:iCs/>
          <w:sz w:val="24"/>
          <w:szCs w:val="24"/>
          <w:lang w:eastAsia="x-none"/>
        </w:rPr>
        <w:t xml:space="preserve"> LS </w:t>
      </w:r>
      <w:r w:rsidR="00B57EFE" w:rsidRPr="00B57EFE">
        <w:rPr>
          <w:sz w:val="24"/>
          <w:szCs w:val="24"/>
        </w:rPr>
        <w:t xml:space="preserve">to RAN2 on </w:t>
      </w:r>
      <w:r w:rsidR="00B57EFE">
        <w:rPr>
          <w:sz w:val="24"/>
          <w:szCs w:val="24"/>
        </w:rPr>
        <w:t>r</w:t>
      </w:r>
      <w:r w:rsidR="00B57EFE" w:rsidRPr="00B57EFE">
        <w:rPr>
          <w:sz w:val="24"/>
          <w:szCs w:val="24"/>
        </w:rPr>
        <w:t xml:space="preserve">eference </w:t>
      </w:r>
      <w:r w:rsidR="00B57EFE">
        <w:rPr>
          <w:sz w:val="24"/>
          <w:szCs w:val="24"/>
        </w:rPr>
        <w:t>p</w:t>
      </w:r>
      <w:r w:rsidR="00B57EFE" w:rsidRPr="00B57EFE">
        <w:rPr>
          <w:sz w:val="24"/>
          <w:szCs w:val="24"/>
        </w:rPr>
        <w:t>oint for SSB-TimeOffset</w:t>
      </w:r>
      <w:r>
        <w:rPr>
          <w:iCs/>
          <w:sz w:val="24"/>
          <w:szCs w:val="24"/>
          <w:lang w:eastAsia="x-none"/>
        </w:rPr>
        <w:t xml:space="preserve"> is in </w:t>
      </w:r>
      <w:r>
        <w:rPr>
          <w:iCs/>
          <w:sz w:val="24"/>
          <w:szCs w:val="24"/>
          <w:lang w:eastAsia="x-none"/>
        </w:rPr>
        <w:fldChar w:fldCharType="begin"/>
      </w:r>
      <w:r>
        <w:rPr>
          <w:iCs/>
          <w:sz w:val="24"/>
          <w:szCs w:val="24"/>
          <w:lang w:eastAsia="x-none"/>
        </w:rPr>
        <w:instrText xml:space="preserve"> REF _Ref157521755 \r \h </w:instrText>
      </w:r>
      <w:r>
        <w:rPr>
          <w:iCs/>
          <w:sz w:val="24"/>
          <w:szCs w:val="24"/>
          <w:lang w:eastAsia="x-none"/>
        </w:rPr>
      </w:r>
      <w:r>
        <w:rPr>
          <w:iCs/>
          <w:sz w:val="24"/>
          <w:szCs w:val="24"/>
          <w:lang w:eastAsia="x-none"/>
        </w:rPr>
        <w:fldChar w:fldCharType="separate"/>
      </w:r>
      <w:r>
        <w:rPr>
          <w:iCs/>
          <w:sz w:val="24"/>
          <w:szCs w:val="24"/>
          <w:lang w:eastAsia="x-none"/>
        </w:rPr>
        <w:t>[2]</w:t>
      </w:r>
      <w:r>
        <w:rPr>
          <w:iCs/>
          <w:sz w:val="24"/>
          <w:szCs w:val="24"/>
          <w:lang w:eastAsia="x-none"/>
        </w:rPr>
        <w:fldChar w:fldCharType="end"/>
      </w:r>
      <w:r>
        <w:rPr>
          <w:iCs/>
          <w:sz w:val="24"/>
          <w:szCs w:val="24"/>
          <w:lang w:eastAsia="x-none"/>
        </w:rPr>
        <w:t>.</w:t>
      </w:r>
    </w:p>
    <w:p w14:paraId="12B33CFD" w14:textId="5D34282C" w:rsidR="00390F36" w:rsidRPr="00A6576F" w:rsidRDefault="00390F36" w:rsidP="00390F36">
      <w:pPr>
        <w:pStyle w:val="Heading1"/>
      </w:pPr>
      <w:r w:rsidRPr="00A6576F">
        <w:t>Conclusion</w:t>
      </w:r>
    </w:p>
    <w:p w14:paraId="6368D173" w14:textId="61155B3B" w:rsidR="00D75CFD" w:rsidRDefault="00BE753A" w:rsidP="00AC08BB">
      <w:pPr>
        <w:jc w:val="both"/>
        <w:rPr>
          <w:sz w:val="24"/>
          <w:szCs w:val="24"/>
        </w:rPr>
      </w:pPr>
      <w:r w:rsidRPr="00A416D1">
        <w:rPr>
          <w:sz w:val="24"/>
          <w:szCs w:val="24"/>
        </w:rPr>
        <w:t>In this contribution, we provided our views on</w:t>
      </w:r>
      <w:r w:rsidR="00857480" w:rsidRPr="00A416D1">
        <w:rPr>
          <w:sz w:val="24"/>
          <w:szCs w:val="24"/>
        </w:rPr>
        <w:t xml:space="preserve"> </w:t>
      </w:r>
      <w:r w:rsidR="00D75CFD">
        <w:rPr>
          <w:sz w:val="24"/>
          <w:szCs w:val="24"/>
        </w:rPr>
        <w:t xml:space="preserve">the </w:t>
      </w:r>
      <w:r w:rsidR="00B57EFE">
        <w:rPr>
          <w:sz w:val="24"/>
          <w:szCs w:val="24"/>
        </w:rPr>
        <w:t>acceptability</w:t>
      </w:r>
      <w:r w:rsidR="00D75CFD" w:rsidRPr="00D75CFD">
        <w:rPr>
          <w:sz w:val="24"/>
          <w:szCs w:val="24"/>
        </w:rPr>
        <w:t xml:space="preserve"> </w:t>
      </w:r>
      <w:r w:rsidR="00D75CFD">
        <w:rPr>
          <w:sz w:val="24"/>
          <w:szCs w:val="24"/>
        </w:rPr>
        <w:t xml:space="preserve">for </w:t>
      </w:r>
      <w:r w:rsidR="00B57EFE">
        <w:rPr>
          <w:sz w:val="24"/>
          <w:szCs w:val="24"/>
        </w:rPr>
        <w:t>setting gNB as reference point for SSB-TimeOffset.</w:t>
      </w:r>
      <w:r w:rsidR="00D75CFD">
        <w:rPr>
          <w:sz w:val="24"/>
          <w:szCs w:val="24"/>
        </w:rPr>
        <w:t xml:space="preserve"> </w:t>
      </w:r>
      <w:r w:rsidRPr="00A416D1">
        <w:rPr>
          <w:sz w:val="24"/>
          <w:szCs w:val="24"/>
        </w:rPr>
        <w:t xml:space="preserve">Our </w:t>
      </w:r>
      <w:r w:rsidR="00BD755E" w:rsidRPr="00A416D1">
        <w:rPr>
          <w:sz w:val="24"/>
          <w:szCs w:val="24"/>
        </w:rPr>
        <w:t>proposal</w:t>
      </w:r>
      <w:r w:rsidR="00D75CFD">
        <w:rPr>
          <w:sz w:val="24"/>
          <w:szCs w:val="24"/>
        </w:rPr>
        <w:t xml:space="preserve"> is</w:t>
      </w:r>
      <w:r w:rsidR="00B956DF" w:rsidRPr="00A416D1">
        <w:rPr>
          <w:sz w:val="24"/>
          <w:szCs w:val="24"/>
        </w:rPr>
        <w:t xml:space="preserve"> </w:t>
      </w:r>
      <w:r w:rsidRPr="00A416D1">
        <w:rPr>
          <w:sz w:val="24"/>
          <w:szCs w:val="24"/>
        </w:rPr>
        <w:t>as follows:</w:t>
      </w:r>
    </w:p>
    <w:p w14:paraId="2C47E428" w14:textId="77777777" w:rsidR="00772959" w:rsidRDefault="00772959" w:rsidP="00772959">
      <w:pPr>
        <w:tabs>
          <w:tab w:val="left" w:pos="640"/>
        </w:tabs>
        <w:spacing w:after="0"/>
        <w:jc w:val="both"/>
        <w:rPr>
          <w:sz w:val="24"/>
          <w:szCs w:val="24"/>
        </w:rPr>
      </w:pPr>
      <w:r w:rsidRPr="005B064A">
        <w:rPr>
          <w:b/>
          <w:bCs/>
          <w:i/>
          <w:iCs/>
          <w:sz w:val="24"/>
          <w:szCs w:val="24"/>
          <w:u w:val="single"/>
        </w:rPr>
        <w:t>Proposal 1:</w:t>
      </w:r>
      <w:r w:rsidRPr="005B064A">
        <w:rPr>
          <w:i/>
          <w:iCs/>
          <w:sz w:val="24"/>
          <w:szCs w:val="24"/>
        </w:rPr>
        <w:t xml:space="preserve"> </w:t>
      </w:r>
      <w:r>
        <w:rPr>
          <w:i/>
          <w:iCs/>
          <w:sz w:val="24"/>
          <w:szCs w:val="24"/>
        </w:rPr>
        <w:t xml:space="preserve">It is acceptable to adopt gNB as the reference point of SSB-TimeOffset. </w:t>
      </w:r>
    </w:p>
    <w:p w14:paraId="7A5D8354" w14:textId="77777777" w:rsidR="00D75CFD" w:rsidRPr="00AC08BB" w:rsidRDefault="00D75CFD" w:rsidP="00AC08BB">
      <w:pPr>
        <w:jc w:val="both"/>
        <w:rPr>
          <w:i/>
          <w:iCs/>
        </w:rPr>
      </w:pPr>
    </w:p>
    <w:p w14:paraId="13BE573A" w14:textId="77777777" w:rsidR="00390F36" w:rsidRPr="00A6576F" w:rsidRDefault="00390F36" w:rsidP="00390F36">
      <w:pPr>
        <w:pStyle w:val="Heading1"/>
      </w:pPr>
      <w:r w:rsidRPr="00A6576F">
        <w:t>References</w:t>
      </w:r>
    </w:p>
    <w:p w14:paraId="7B62924C" w14:textId="1FB44713" w:rsidR="006D5148" w:rsidRPr="00B57EFE" w:rsidRDefault="00390F36" w:rsidP="00B57EFE">
      <w:pPr>
        <w:numPr>
          <w:ilvl w:val="0"/>
          <w:numId w:val="5"/>
        </w:numPr>
        <w:tabs>
          <w:tab w:val="clear" w:pos="657"/>
        </w:tabs>
        <w:spacing w:before="100" w:beforeAutospacing="1" w:after="120"/>
        <w:ind w:left="562" w:hanging="562"/>
        <w:jc w:val="both"/>
        <w:rPr>
          <w:sz w:val="24"/>
          <w:szCs w:val="24"/>
        </w:rPr>
      </w:pPr>
      <w:bookmarkStart w:id="2" w:name="_Ref59982016"/>
      <w:bookmarkStart w:id="3" w:name="_Ref78543045"/>
      <w:bookmarkStart w:id="4" w:name="_Ref49784738"/>
      <w:bookmarkStart w:id="5" w:name="_Ref29545847"/>
      <w:r w:rsidRPr="00B57EFE">
        <w:rPr>
          <w:sz w:val="24"/>
          <w:szCs w:val="24"/>
        </w:rPr>
        <w:t>R</w:t>
      </w:r>
      <w:r w:rsidR="00857480" w:rsidRPr="00B57EFE">
        <w:rPr>
          <w:sz w:val="24"/>
          <w:szCs w:val="24"/>
        </w:rPr>
        <w:t>1</w:t>
      </w:r>
      <w:r w:rsidRPr="00B57EFE">
        <w:rPr>
          <w:sz w:val="24"/>
          <w:szCs w:val="24"/>
        </w:rPr>
        <w:t>-2</w:t>
      </w:r>
      <w:r w:rsidR="00857480" w:rsidRPr="00B57EFE">
        <w:rPr>
          <w:sz w:val="24"/>
          <w:szCs w:val="24"/>
        </w:rPr>
        <w:t>4</w:t>
      </w:r>
      <w:r w:rsidR="00D75CFD" w:rsidRPr="00B57EFE">
        <w:rPr>
          <w:sz w:val="24"/>
          <w:szCs w:val="24"/>
        </w:rPr>
        <w:t>0</w:t>
      </w:r>
      <w:r w:rsidR="00B57EFE" w:rsidRPr="00B57EFE">
        <w:rPr>
          <w:sz w:val="24"/>
          <w:szCs w:val="24"/>
        </w:rPr>
        <w:t>3837</w:t>
      </w:r>
      <w:r w:rsidRPr="00B57EFE">
        <w:rPr>
          <w:sz w:val="24"/>
          <w:szCs w:val="24"/>
        </w:rPr>
        <w:t>, “</w:t>
      </w:r>
      <w:bookmarkEnd w:id="2"/>
      <w:r w:rsidR="00B57EFE" w:rsidRPr="00B57EFE">
        <w:rPr>
          <w:sz w:val="24"/>
          <w:szCs w:val="24"/>
        </w:rPr>
        <w:t>LS on reference point for SSB-TimeOffset</w:t>
      </w:r>
      <w:r w:rsidRPr="00B57EFE">
        <w:rPr>
          <w:sz w:val="24"/>
          <w:szCs w:val="24"/>
        </w:rPr>
        <w:t xml:space="preserve">,” </w:t>
      </w:r>
      <w:r w:rsidR="00B57EFE">
        <w:rPr>
          <w:sz w:val="24"/>
          <w:szCs w:val="24"/>
        </w:rPr>
        <w:t>Apr</w:t>
      </w:r>
      <w:r w:rsidR="00D75CFD" w:rsidRPr="00B57EFE">
        <w:rPr>
          <w:sz w:val="24"/>
          <w:szCs w:val="24"/>
        </w:rPr>
        <w:t>.</w:t>
      </w:r>
      <w:r w:rsidR="00857480" w:rsidRPr="00B57EFE">
        <w:rPr>
          <w:sz w:val="24"/>
          <w:szCs w:val="24"/>
        </w:rPr>
        <w:t xml:space="preserve"> </w:t>
      </w:r>
      <w:r w:rsidRPr="00B57EFE">
        <w:rPr>
          <w:sz w:val="24"/>
          <w:szCs w:val="24"/>
        </w:rPr>
        <w:t>202</w:t>
      </w:r>
      <w:r w:rsidR="004C6BF1" w:rsidRPr="00B57EFE">
        <w:rPr>
          <w:sz w:val="24"/>
          <w:szCs w:val="24"/>
        </w:rPr>
        <w:t>4</w:t>
      </w:r>
      <w:r w:rsidRPr="00B57EFE">
        <w:rPr>
          <w:sz w:val="24"/>
          <w:szCs w:val="24"/>
        </w:rPr>
        <w:t>.</w:t>
      </w:r>
      <w:bookmarkEnd w:id="3"/>
      <w:r w:rsidRPr="00B57EFE">
        <w:rPr>
          <w:sz w:val="24"/>
          <w:szCs w:val="24"/>
        </w:rPr>
        <w:t xml:space="preserve"> </w:t>
      </w:r>
      <w:bookmarkEnd w:id="4"/>
      <w:bookmarkEnd w:id="5"/>
    </w:p>
    <w:p w14:paraId="405358C7" w14:textId="1545DBD0" w:rsidR="008D5571" w:rsidRPr="00FE0903" w:rsidRDefault="00D75CFD" w:rsidP="006B1A13">
      <w:pPr>
        <w:numPr>
          <w:ilvl w:val="0"/>
          <w:numId w:val="5"/>
        </w:numPr>
        <w:tabs>
          <w:tab w:val="clear" w:pos="657"/>
        </w:tabs>
        <w:spacing w:before="100" w:beforeAutospacing="1" w:after="120"/>
        <w:ind w:left="562" w:hanging="562"/>
        <w:jc w:val="both"/>
        <w:rPr>
          <w:sz w:val="24"/>
          <w:szCs w:val="24"/>
        </w:rPr>
      </w:pPr>
      <w:bookmarkStart w:id="6" w:name="_Ref157521755"/>
      <w:r w:rsidRPr="00FE0903">
        <w:rPr>
          <w:sz w:val="24"/>
          <w:szCs w:val="24"/>
        </w:rPr>
        <w:t>R1-240</w:t>
      </w:r>
      <w:r w:rsidR="00FE0903" w:rsidRPr="00FE0903">
        <w:rPr>
          <w:sz w:val="24"/>
          <w:szCs w:val="24"/>
        </w:rPr>
        <w:t>4267</w:t>
      </w:r>
      <w:r w:rsidRPr="00FE0903">
        <w:rPr>
          <w:sz w:val="24"/>
          <w:szCs w:val="24"/>
        </w:rPr>
        <w:t>, “</w:t>
      </w:r>
      <w:r w:rsidR="00B57EFE" w:rsidRPr="00FE0903">
        <w:rPr>
          <w:sz w:val="24"/>
          <w:szCs w:val="24"/>
        </w:rPr>
        <w:t>Draft Reply LS to RAN2 on Reference Point for SSB-TimeOffset</w:t>
      </w:r>
      <w:r w:rsidRPr="00FE0903">
        <w:rPr>
          <w:sz w:val="24"/>
          <w:szCs w:val="24"/>
        </w:rPr>
        <w:t xml:space="preserve">,” </w:t>
      </w:r>
      <w:r w:rsidR="00B57EFE" w:rsidRPr="00FE0903">
        <w:rPr>
          <w:sz w:val="24"/>
          <w:szCs w:val="24"/>
        </w:rPr>
        <w:t>May</w:t>
      </w:r>
      <w:r w:rsidRPr="00FE0903">
        <w:rPr>
          <w:sz w:val="24"/>
          <w:szCs w:val="24"/>
        </w:rPr>
        <w:t xml:space="preserve"> 2024.</w:t>
      </w:r>
      <w:bookmarkEnd w:id="6"/>
    </w:p>
    <w:sectPr w:rsidR="008D5571" w:rsidRPr="00FE0903" w:rsidSect="0061505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F88B6" w14:textId="77777777" w:rsidR="0061505A" w:rsidRDefault="0061505A">
      <w:r>
        <w:separator/>
      </w:r>
    </w:p>
  </w:endnote>
  <w:endnote w:type="continuationSeparator" w:id="0">
    <w:p w14:paraId="75304501" w14:textId="77777777" w:rsidR="0061505A" w:rsidRDefault="0061505A">
      <w:r>
        <w:continuationSeparator/>
      </w:r>
    </w:p>
  </w:endnote>
  <w:endnote w:type="continuationNotice" w:id="1">
    <w:p w14:paraId="02F46C65" w14:textId="77777777" w:rsidR="0061505A" w:rsidRDefault="00615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7C835" w14:textId="77777777" w:rsidR="0061505A" w:rsidRDefault="0061505A">
      <w:r>
        <w:separator/>
      </w:r>
    </w:p>
  </w:footnote>
  <w:footnote w:type="continuationSeparator" w:id="0">
    <w:p w14:paraId="797E6118" w14:textId="77777777" w:rsidR="0061505A" w:rsidRDefault="0061505A">
      <w:r>
        <w:continuationSeparator/>
      </w:r>
    </w:p>
  </w:footnote>
  <w:footnote w:type="continuationNotice" w:id="1">
    <w:p w14:paraId="7479B4B1" w14:textId="77777777" w:rsidR="0061505A" w:rsidRDefault="006150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470"/>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814F64"/>
    <w:multiLevelType w:val="hybridMultilevel"/>
    <w:tmpl w:val="31C6DEBC"/>
    <w:lvl w:ilvl="0" w:tplc="908CC3E8">
      <w:start w:val="1"/>
      <w:numFmt w:val="decimal"/>
      <w:lvlText w:val="%1."/>
      <w:lvlJc w:val="left"/>
      <w:pPr>
        <w:ind w:left="72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081738"/>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C68B9"/>
    <w:multiLevelType w:val="multilevel"/>
    <w:tmpl w:val="28BC68B9"/>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0" w15:restartNumberingAfterBreak="0">
    <w:nsid w:val="41760EB8"/>
    <w:multiLevelType w:val="hybridMultilevel"/>
    <w:tmpl w:val="0F7E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70120F"/>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14"/>
  </w:num>
  <w:num w:numId="2" w16cid:durableId="1798985130">
    <w:abstractNumId w:val="16"/>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22"/>
  </w:num>
  <w:num w:numId="8" w16cid:durableId="138037242">
    <w:abstractNumId w:val="19"/>
  </w:num>
  <w:num w:numId="9" w16cid:durableId="399445388">
    <w:abstractNumId w:val="28"/>
  </w:num>
  <w:num w:numId="10" w16cid:durableId="134227536">
    <w:abstractNumId w:val="5"/>
  </w:num>
  <w:num w:numId="11" w16cid:durableId="2171293">
    <w:abstractNumId w:val="17"/>
  </w:num>
  <w:num w:numId="12" w16cid:durableId="490175065">
    <w:abstractNumId w:val="31"/>
  </w:num>
  <w:num w:numId="13" w16cid:durableId="717704263">
    <w:abstractNumId w:val="8"/>
  </w:num>
  <w:num w:numId="14" w16cid:durableId="419257155">
    <w:abstractNumId w:val="21"/>
  </w:num>
  <w:num w:numId="15" w16cid:durableId="1101293150">
    <w:abstractNumId w:val="29"/>
  </w:num>
  <w:num w:numId="16" w16cid:durableId="929386166">
    <w:abstractNumId w:val="30"/>
  </w:num>
  <w:num w:numId="17" w16cid:durableId="1872182528">
    <w:abstractNumId w:val="4"/>
  </w:num>
  <w:num w:numId="18" w16cid:durableId="1984919666">
    <w:abstractNumId w:val="27"/>
  </w:num>
  <w:num w:numId="19" w16cid:durableId="111436832">
    <w:abstractNumId w:val="32"/>
  </w:num>
  <w:num w:numId="20" w16cid:durableId="614677339">
    <w:abstractNumId w:val="26"/>
  </w:num>
  <w:num w:numId="21" w16cid:durableId="1498497331">
    <w:abstractNumId w:val="20"/>
  </w:num>
  <w:num w:numId="22" w16cid:durableId="2025589711">
    <w:abstractNumId w:val="9"/>
  </w:num>
  <w:num w:numId="23" w16cid:durableId="10917074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0949245">
    <w:abstractNumId w:val="15"/>
  </w:num>
  <w:num w:numId="25" w16cid:durableId="88888180">
    <w:abstractNumId w:val="11"/>
  </w:num>
  <w:num w:numId="26" w16cid:durableId="1490945383">
    <w:abstractNumId w:val="25"/>
  </w:num>
  <w:num w:numId="27" w16cid:durableId="90274789">
    <w:abstractNumId w:val="24"/>
  </w:num>
  <w:num w:numId="28" w16cid:durableId="295645217">
    <w:abstractNumId w:val="18"/>
  </w:num>
  <w:num w:numId="29" w16cid:durableId="431437824">
    <w:abstractNumId w:val="6"/>
  </w:num>
  <w:num w:numId="30" w16cid:durableId="1628582815">
    <w:abstractNumId w:val="23"/>
  </w:num>
  <w:num w:numId="31" w16cid:durableId="158624567">
    <w:abstractNumId w:val="7"/>
  </w:num>
  <w:num w:numId="32" w16cid:durableId="705720551">
    <w:abstractNumId w:val="10"/>
  </w:num>
  <w:num w:numId="33" w16cid:durableId="141308992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48C6"/>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4B69"/>
    <w:rsid w:val="001068D2"/>
    <w:rsid w:val="001069F2"/>
    <w:rsid w:val="001103BD"/>
    <w:rsid w:val="00110C4B"/>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45"/>
    <w:rsid w:val="0014287A"/>
    <w:rsid w:val="00142DE2"/>
    <w:rsid w:val="00144C87"/>
    <w:rsid w:val="00144E10"/>
    <w:rsid w:val="001455C4"/>
    <w:rsid w:val="001467B1"/>
    <w:rsid w:val="001469F5"/>
    <w:rsid w:val="001471A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333"/>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0C6B"/>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5F57"/>
    <w:rsid w:val="001D753C"/>
    <w:rsid w:val="001D7720"/>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0574"/>
    <w:rsid w:val="00211519"/>
    <w:rsid w:val="0021224B"/>
    <w:rsid w:val="00212950"/>
    <w:rsid w:val="00212FB8"/>
    <w:rsid w:val="00213709"/>
    <w:rsid w:val="002149AF"/>
    <w:rsid w:val="00214A86"/>
    <w:rsid w:val="00215AAA"/>
    <w:rsid w:val="0021683C"/>
    <w:rsid w:val="00216F5F"/>
    <w:rsid w:val="00220615"/>
    <w:rsid w:val="0022158F"/>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A0"/>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6BA4"/>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976"/>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6CE"/>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3968"/>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029"/>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09D"/>
    <w:rsid w:val="003A495D"/>
    <w:rsid w:val="003A4A40"/>
    <w:rsid w:val="003A4C7C"/>
    <w:rsid w:val="003A5611"/>
    <w:rsid w:val="003A5844"/>
    <w:rsid w:val="003A597F"/>
    <w:rsid w:val="003A71A8"/>
    <w:rsid w:val="003A71D2"/>
    <w:rsid w:val="003A78E6"/>
    <w:rsid w:val="003A7FDE"/>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741"/>
    <w:rsid w:val="003C6877"/>
    <w:rsid w:val="003C6E4F"/>
    <w:rsid w:val="003C7062"/>
    <w:rsid w:val="003C7461"/>
    <w:rsid w:val="003D0788"/>
    <w:rsid w:val="003D0B7B"/>
    <w:rsid w:val="003D132A"/>
    <w:rsid w:val="003D1517"/>
    <w:rsid w:val="003D1D50"/>
    <w:rsid w:val="003D232D"/>
    <w:rsid w:val="003D286B"/>
    <w:rsid w:val="003D2938"/>
    <w:rsid w:val="003D338D"/>
    <w:rsid w:val="003D3FBA"/>
    <w:rsid w:val="003D402B"/>
    <w:rsid w:val="003D54B0"/>
    <w:rsid w:val="003D636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1D30"/>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542"/>
    <w:rsid w:val="00425D2C"/>
    <w:rsid w:val="00426A87"/>
    <w:rsid w:val="00427007"/>
    <w:rsid w:val="00427A8E"/>
    <w:rsid w:val="004309D8"/>
    <w:rsid w:val="004313D1"/>
    <w:rsid w:val="00432110"/>
    <w:rsid w:val="004328EE"/>
    <w:rsid w:val="00433EBE"/>
    <w:rsid w:val="0043428B"/>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391"/>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330"/>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BF1"/>
    <w:rsid w:val="004C6DA5"/>
    <w:rsid w:val="004C795A"/>
    <w:rsid w:val="004C7F93"/>
    <w:rsid w:val="004D2629"/>
    <w:rsid w:val="004D26B8"/>
    <w:rsid w:val="004D2AD1"/>
    <w:rsid w:val="004D2C2C"/>
    <w:rsid w:val="004D329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13E"/>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AAF"/>
    <w:rsid w:val="005A4904"/>
    <w:rsid w:val="005A515A"/>
    <w:rsid w:val="005A704D"/>
    <w:rsid w:val="005B064A"/>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AE5"/>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2C3"/>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05A"/>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6D5"/>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2146"/>
    <w:rsid w:val="006D5148"/>
    <w:rsid w:val="006D532B"/>
    <w:rsid w:val="006D54B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AA6"/>
    <w:rsid w:val="0071705B"/>
    <w:rsid w:val="00720505"/>
    <w:rsid w:val="00720ED7"/>
    <w:rsid w:val="0072232D"/>
    <w:rsid w:val="0072302F"/>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95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4F18"/>
    <w:rsid w:val="007A6CFD"/>
    <w:rsid w:val="007A72EE"/>
    <w:rsid w:val="007A7DC0"/>
    <w:rsid w:val="007B0397"/>
    <w:rsid w:val="007B0ADB"/>
    <w:rsid w:val="007B26EE"/>
    <w:rsid w:val="007B3502"/>
    <w:rsid w:val="007B3E6D"/>
    <w:rsid w:val="007B44ED"/>
    <w:rsid w:val="007B491A"/>
    <w:rsid w:val="007B50D4"/>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579"/>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4C9"/>
    <w:rsid w:val="008D492A"/>
    <w:rsid w:val="008D4B58"/>
    <w:rsid w:val="008D4B7F"/>
    <w:rsid w:val="008D4B8A"/>
    <w:rsid w:val="008D546C"/>
    <w:rsid w:val="008D5571"/>
    <w:rsid w:val="008D5CD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1F8"/>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C0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0DF2"/>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4AE"/>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5CE"/>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8BB"/>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4DBF"/>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B0B"/>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57EF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37511"/>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3A"/>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2C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DAE"/>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592"/>
    <w:rsid w:val="00D53649"/>
    <w:rsid w:val="00D53830"/>
    <w:rsid w:val="00D54FB3"/>
    <w:rsid w:val="00D55889"/>
    <w:rsid w:val="00D56B5F"/>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CFD"/>
    <w:rsid w:val="00D76ADC"/>
    <w:rsid w:val="00D77413"/>
    <w:rsid w:val="00D778F2"/>
    <w:rsid w:val="00D80B04"/>
    <w:rsid w:val="00D81F10"/>
    <w:rsid w:val="00D82798"/>
    <w:rsid w:val="00D82BF2"/>
    <w:rsid w:val="00D84A57"/>
    <w:rsid w:val="00D8502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AF0"/>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9E7"/>
    <w:rsid w:val="00E53A01"/>
    <w:rsid w:val="00E564C4"/>
    <w:rsid w:val="00E567C9"/>
    <w:rsid w:val="00E57E1A"/>
    <w:rsid w:val="00E604C4"/>
    <w:rsid w:val="00E60809"/>
    <w:rsid w:val="00E610F7"/>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4B69"/>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301"/>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5E2A"/>
    <w:rsid w:val="00F064EC"/>
    <w:rsid w:val="00F07F39"/>
    <w:rsid w:val="00F10CB9"/>
    <w:rsid w:val="00F10FF1"/>
    <w:rsid w:val="00F110CD"/>
    <w:rsid w:val="00F110D5"/>
    <w:rsid w:val="00F118B7"/>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07BC"/>
    <w:rsid w:val="00F33DC8"/>
    <w:rsid w:val="00F34444"/>
    <w:rsid w:val="00F378F1"/>
    <w:rsid w:val="00F403A1"/>
    <w:rsid w:val="00F403DB"/>
    <w:rsid w:val="00F4065A"/>
    <w:rsid w:val="00F4275C"/>
    <w:rsid w:val="00F434B2"/>
    <w:rsid w:val="00F43811"/>
    <w:rsid w:val="00F45693"/>
    <w:rsid w:val="00F465F6"/>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673AF"/>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06C"/>
    <w:rsid w:val="00F8336D"/>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0903"/>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 w:type="paragraph" w:customStyle="1" w:styleId="Proposal">
    <w:name w:val="Proposal"/>
    <w:basedOn w:val="BodyText"/>
    <w:qFormat/>
    <w:rsid w:val="00AC08BB"/>
    <w:pPr>
      <w:numPr>
        <w:numId w:val="28"/>
      </w:numPr>
      <w:tabs>
        <w:tab w:val="left" w:pos="1701"/>
      </w:tabs>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2024-05-08T00:14:00Z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